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6A96F" w14:textId="207A06CA" w:rsidR="00FC4E6F" w:rsidRPr="00AA6B3F" w:rsidRDefault="00621030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  <w:u w:val="single" w:color="000000"/>
        </w:rPr>
      </w:pPr>
      <w:r w:rsidRPr="00AA6B3F">
        <w:rPr>
          <w:rFonts w:ascii="Arial" w:eastAsia="Arial" w:hAnsi="Arial" w:cs="Arial"/>
          <w:b/>
          <w:u w:val="single" w:color="000000"/>
        </w:rPr>
        <w:t xml:space="preserve">Załącznik nr </w:t>
      </w:r>
      <w:r w:rsidR="004C05E4">
        <w:rPr>
          <w:rFonts w:ascii="Arial" w:eastAsia="Arial" w:hAnsi="Arial" w:cs="Arial"/>
          <w:b/>
          <w:u w:val="single" w:color="000000"/>
        </w:rPr>
        <w:t>3</w:t>
      </w:r>
      <w:r w:rsidR="00AA6B3F">
        <w:rPr>
          <w:rFonts w:ascii="Arial" w:eastAsia="Arial" w:hAnsi="Arial" w:cs="Arial"/>
          <w:b/>
          <w:u w:val="single" w:color="000000"/>
        </w:rPr>
        <w:t>.0</w:t>
      </w:r>
      <w:r w:rsidRPr="00AA6B3F">
        <w:rPr>
          <w:rFonts w:ascii="Arial" w:eastAsia="Arial" w:hAnsi="Arial" w:cs="Arial"/>
          <w:b/>
          <w:u w:val="single" w:color="000000"/>
        </w:rPr>
        <w:t xml:space="preserve"> </w:t>
      </w:r>
      <w:r w:rsidR="0010700A" w:rsidRPr="00DE4F77">
        <w:rPr>
          <w:rFonts w:ascii="Arial" w:eastAsia="Arial" w:hAnsi="Arial" w:cs="Arial"/>
          <w:b/>
          <w:u w:val="single" w:color="000000"/>
        </w:rPr>
        <w:t xml:space="preserve">do Umowy nr </w:t>
      </w:r>
      <w:r w:rsidR="0010700A" w:rsidRPr="00DE4F77">
        <w:rPr>
          <w:rFonts w:ascii="Arial" w:eastAsia="Arial" w:hAnsi="Arial" w:cs="Arial"/>
          <w:b/>
          <w:highlight w:val="yellow"/>
          <w:u w:val="single" w:color="000000"/>
        </w:rPr>
        <w:t>[…]</w:t>
      </w:r>
      <w:bookmarkStart w:id="0" w:name="_GoBack"/>
      <w:bookmarkEnd w:id="0"/>
    </w:p>
    <w:p w14:paraId="566ED819" w14:textId="77777777" w:rsidR="00DE17FB" w:rsidRPr="00AA6B3F" w:rsidRDefault="00621030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</w:rPr>
      </w:pPr>
      <w:r w:rsidRPr="00AA6B3F">
        <w:rPr>
          <w:rFonts w:ascii="Arial" w:eastAsia="Arial" w:hAnsi="Arial" w:cs="Arial"/>
          <w:b/>
        </w:rPr>
        <w:t>L</w:t>
      </w:r>
      <w:r w:rsidR="00DE17FB" w:rsidRPr="00AA6B3F">
        <w:rPr>
          <w:rFonts w:ascii="Arial" w:eastAsia="Arial" w:hAnsi="Arial" w:cs="Arial"/>
          <w:b/>
        </w:rPr>
        <w:t>inie komunikacyjne objęte Umową</w:t>
      </w:r>
    </w:p>
    <w:p w14:paraId="75650993" w14:textId="77777777" w:rsidR="00DE17FB" w:rsidRPr="00AA6B3F" w:rsidRDefault="00DE17FB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  <w:sz w:val="20"/>
        </w:rPr>
      </w:pPr>
    </w:p>
    <w:tbl>
      <w:tblPr>
        <w:tblStyle w:val="TableGrid"/>
        <w:tblW w:w="13811" w:type="dxa"/>
        <w:tblInd w:w="76" w:type="dxa"/>
        <w:tblCellMar>
          <w:top w:w="74" w:type="dxa"/>
          <w:right w:w="63" w:type="dxa"/>
        </w:tblCellMar>
        <w:tblLook w:val="04A0" w:firstRow="1" w:lastRow="0" w:firstColumn="1" w:lastColumn="0" w:noHBand="0" w:noVBand="1"/>
      </w:tblPr>
      <w:tblGrid>
        <w:gridCol w:w="577"/>
        <w:gridCol w:w="1174"/>
        <w:gridCol w:w="1137"/>
        <w:gridCol w:w="1798"/>
        <w:gridCol w:w="5120"/>
        <w:gridCol w:w="4005"/>
      </w:tblGrid>
      <w:tr w:rsidR="00953960" w:rsidRPr="00AA6B3F" w14:paraId="6F7C8FF0" w14:textId="77777777" w:rsidTr="00022D3D">
        <w:trPr>
          <w:cantSplit/>
          <w:trHeight w:val="111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02D4C15" w14:textId="77777777" w:rsidR="005A5594" w:rsidRPr="00AA6B3F" w:rsidRDefault="005A5594">
            <w:pPr>
              <w:ind w:left="140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L.p.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extDirection w:val="btLr"/>
            <w:vAlign w:val="center"/>
          </w:tcPr>
          <w:p w14:paraId="24CC88E3" w14:textId="77777777" w:rsidR="005A5594" w:rsidRPr="00AA6B3F" w:rsidRDefault="005A5594" w:rsidP="00BE08C4">
            <w:pPr>
              <w:ind w:left="14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Linia</w:t>
            </w:r>
          </w:p>
          <w:p w14:paraId="55AC3C56" w14:textId="77777777" w:rsidR="005A5594" w:rsidRPr="00AA6B3F" w:rsidRDefault="005A5594" w:rsidP="00BE08C4">
            <w:pPr>
              <w:ind w:left="14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Komunikacyjna</w:t>
            </w:r>
            <w:r w:rsidRPr="00AA6B3F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extDirection w:val="btLr"/>
            <w:vAlign w:val="center"/>
          </w:tcPr>
          <w:p w14:paraId="4B93A135" w14:textId="77777777" w:rsidR="005A5594" w:rsidRPr="00AA6B3F" w:rsidRDefault="005A5594" w:rsidP="00BE08C4">
            <w:pPr>
              <w:ind w:left="20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Nr linii kolejowej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799C52A8" w14:textId="77777777" w:rsidR="005A5594" w:rsidRPr="00AA6B3F" w:rsidRDefault="005A5594">
            <w:pPr>
              <w:ind w:left="127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Relacja/część relacji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7D1BE027" w14:textId="77777777" w:rsidR="005A5594" w:rsidRPr="00AA6B3F" w:rsidRDefault="005A5594">
            <w:pPr>
              <w:spacing w:after="39"/>
              <w:ind w:left="59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Obszar realizacji </w:t>
            </w:r>
          </w:p>
          <w:p w14:paraId="31733261" w14:textId="77777777" w:rsidR="005A5594" w:rsidRPr="00AA6B3F" w:rsidRDefault="005A5594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Przewozów oraz stacje pośrednie </w:t>
            </w:r>
          </w:p>
        </w:tc>
        <w:tc>
          <w:tcPr>
            <w:tcW w:w="4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B60709B" w14:textId="77777777" w:rsidR="005A5594" w:rsidRPr="00AA6B3F" w:rsidRDefault="005A5594" w:rsidP="00DE17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Ryzyka związane z realizacją przewozów</w:t>
            </w:r>
          </w:p>
          <w:p w14:paraId="2DCCBB15" w14:textId="77777777" w:rsidR="005A5594" w:rsidRPr="00AA6B3F" w:rsidRDefault="005A5594" w:rsidP="00DE17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31E721" w14:textId="77777777" w:rsidR="005A5594" w:rsidRPr="00AA6B3F" w:rsidRDefault="005A5594" w:rsidP="005250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Możliwe zmiany planowanej pracy eksploatacyjnej w trakcie realizacji Umowy</w:t>
            </w:r>
            <w:r w:rsidR="000F43BA" w:rsidRPr="00AA6B3F">
              <w:rPr>
                <w:rFonts w:ascii="Arial" w:hAnsi="Arial" w:cs="Arial"/>
                <w:b/>
                <w:sz w:val="16"/>
                <w:szCs w:val="16"/>
              </w:rPr>
              <w:t xml:space="preserve"> wskazane przez Zarządcę Infrastruktury</w:t>
            </w:r>
            <w:r w:rsidR="00DC1555" w:rsidRPr="00AA6B3F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</w:tr>
      <w:tr w:rsidR="00953960" w:rsidRPr="00AA6B3F" w14:paraId="7BD3A8D5" w14:textId="77777777" w:rsidTr="00022D3D">
        <w:trPr>
          <w:trHeight w:val="130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AD7CF" w14:textId="77777777" w:rsidR="006F3835" w:rsidRPr="00AA6B3F" w:rsidRDefault="006F3835" w:rsidP="00DE17FB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5F025" w14:textId="77777777" w:rsidR="006F3835" w:rsidRPr="00AA6B3F" w:rsidRDefault="006F3835" w:rsidP="00DE17FB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RPK-01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B460" w14:textId="77777777" w:rsidR="006F3835" w:rsidRPr="00AA6B3F" w:rsidRDefault="006F3835" w:rsidP="00DE17FB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9, </w:t>
            </w:r>
            <w:r w:rsidR="00EC3B7E" w:rsidRPr="00AA6B3F">
              <w:rPr>
                <w:rFonts w:ascii="Arial" w:eastAsia="Arial" w:hAnsi="Arial" w:cs="Arial"/>
                <w:sz w:val="16"/>
                <w:szCs w:val="16"/>
              </w:rPr>
              <w:t>202,</w:t>
            </w:r>
            <w:r w:rsidR="00953960" w:rsidRPr="00AA6B3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AA6B3F">
              <w:rPr>
                <w:rFonts w:ascii="Arial" w:eastAsia="Arial" w:hAnsi="Arial" w:cs="Arial"/>
                <w:sz w:val="16"/>
                <w:szCs w:val="16"/>
              </w:rPr>
              <w:t>250, 2</w:t>
            </w:r>
            <w:r w:rsidR="00EC3B7E" w:rsidRPr="00AA6B3F">
              <w:rPr>
                <w:rFonts w:ascii="Arial" w:eastAsia="Arial" w:hAnsi="Arial" w:cs="Arial"/>
                <w:sz w:val="16"/>
                <w:szCs w:val="16"/>
              </w:rPr>
              <w:t>60.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6A74E" w14:textId="77777777" w:rsidR="006F3835" w:rsidRPr="00AA6B3F" w:rsidRDefault="006F3835" w:rsidP="00DE17FB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Tczew – (Gdańsk Śródmieście) – Gdańsk Główny – Gdynia Główna – Rumia – Reda - Wejherowo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52C5" w14:textId="77777777" w:rsidR="006F3835" w:rsidRPr="00AA6B3F" w:rsidRDefault="006F3835" w:rsidP="00DE17FB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Tczew,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Miłobądz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Pszczółki, Skowarcz, Różyny, Cieplewo, Pruszcz Gdański, Gdańsk Lipce, Gdańsk Orunia, Gdańsk Śródmieście, Gdańsk Główny, Gdańsk Stocznia, Gdańsk Politechnika, Gdańsk Wrzeszcz, Gdańsk Zaspa, Gdańsk Przymorze – Uniwersytet, Gdańsk Oliwa, Gdańsk Żabianka –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AWFiS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 w:rsidR="00EC3B7E" w:rsidRPr="00AA6B3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Sopot Wyścigi, Sopot, Sopot Kamienny Potok, Gdynia Orłowo, Gdynia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Redłowo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Gdynia Wzgórze Św. Maksymiliana, Gdynia Główna, Gdynia Stocznia – Uniwersytet Morski, Gdynia Grabówek, Gdynia Leszczynki, Gdynia Chylonia, Gdynia Cisowa, Rumia Janowo, Rumia, Reda, Reda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Pieleszewo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Wejherowo Śmiechowo, Wejherowo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Nanice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>, Wejherowo</w:t>
            </w:r>
          </w:p>
        </w:tc>
        <w:tc>
          <w:tcPr>
            <w:tcW w:w="4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CD3E16" w14:textId="18966ED4" w:rsidR="006F3835" w:rsidRPr="000A3AD7" w:rsidRDefault="006F3835" w:rsidP="00DE17FB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  <w:r w:rsidRPr="000A3AD7">
              <w:rPr>
                <w:rFonts w:ascii="Arial" w:eastAsia="Arial" w:hAnsi="Arial" w:cs="Arial"/>
                <w:sz w:val="16"/>
                <w:szCs w:val="16"/>
              </w:rPr>
              <w:t>Modernizacja linii kolejowej nr 202, budowa PKM Południe</w:t>
            </w:r>
            <w:r w:rsidR="00EC3B7E" w:rsidRPr="000A3AD7">
              <w:rPr>
                <w:rFonts w:ascii="Arial" w:eastAsia="Arial" w:hAnsi="Arial" w:cs="Arial"/>
                <w:sz w:val="16"/>
                <w:szCs w:val="16"/>
              </w:rPr>
              <w:t xml:space="preserve">, prace związane z poprawą dostępności do portów. </w:t>
            </w:r>
          </w:p>
        </w:tc>
      </w:tr>
      <w:tr w:rsidR="00953960" w:rsidRPr="00AA6B3F" w14:paraId="624B417B" w14:textId="77777777" w:rsidTr="00022D3D">
        <w:trPr>
          <w:trHeight w:val="130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518B6" w14:textId="6C3182EA" w:rsidR="00EC3B7E" w:rsidRPr="00AA6B3F" w:rsidRDefault="00E1142D" w:rsidP="00DE17FB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  <w:r w:rsidR="00EC3B7E" w:rsidRPr="00AA6B3F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DFE7" w14:textId="77777777" w:rsidR="00EC3B7E" w:rsidRPr="00AA6B3F" w:rsidRDefault="00EC3B7E" w:rsidP="00DE17FB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RPK-03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76CF9" w14:textId="2DAD8CA7" w:rsidR="00EC3B7E" w:rsidRPr="00AA6B3F" w:rsidRDefault="00EC3B7E" w:rsidP="00DE17FB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202,</w:t>
            </w:r>
            <w:r w:rsidR="00953960" w:rsidRPr="00AA6B3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AA6B3F">
              <w:rPr>
                <w:rFonts w:ascii="Arial" w:eastAsia="Arial" w:hAnsi="Arial" w:cs="Arial"/>
                <w:sz w:val="16"/>
                <w:szCs w:val="16"/>
              </w:rPr>
              <w:t>250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C4DF2" w14:textId="77777777" w:rsidR="00EC3B7E" w:rsidRPr="00AA6B3F" w:rsidRDefault="00EC3B7E" w:rsidP="00DE17FB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Słupsk – Lębork – Wejherowo – Gdynia Główna/Gdańsk Główny/Gdańsk Śródmieście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70D51" w14:textId="3910E0CD" w:rsidR="00EC3B7E" w:rsidRPr="00AA6B3F" w:rsidRDefault="00EC3B7E" w:rsidP="00DE17FB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Słupsk, Jezierzyce Słupskie, Damnica, Strzyżyno Słupskie, Głuszyno Pomorskie, Potęgowo, Pogorzelice, Leśnice, Lębork, Lębork Mosty, Godętowo,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Bożepole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 Wielkie, Strzebielino Morskie, Luzino, Gościcino Wejherowskie, Wejherowo, Wejherowo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Nanice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Wejherowo Śmiechowo, Reda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Pieleszewo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>, Reda, Rumia, Rumia Janowo, Gdynia Cisowa, Gdynia Chylonia, Gdynia Leszczynki, Gdynia Grabówek, Gdynia Stocznia – Uniwersytet Morski, Gdynia Główna, Gdynia Wzgórze Św. Maksymilian</w:t>
            </w:r>
            <w:r w:rsidR="00022B33" w:rsidRPr="00AA6B3F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 Gdynia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Redłowo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Gdynia Orłowo, Sopot Kamienny Potok, Sopot, Sopot Wyścigi, Gdańsk Żabianka –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AWFiS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>, Gdańsk Oliwa, Gdańsk Przymorze – Uniwersytet, Gdańsk Zaspa, Gdańsk Wrzeszcz, Gdańsk Politechnika, Gdańsk Stocznia, Gdańsk Główny, Gdańsk Śródmieście</w:t>
            </w:r>
          </w:p>
        </w:tc>
        <w:tc>
          <w:tcPr>
            <w:tcW w:w="4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26A316" w14:textId="77777777" w:rsidR="00EC3B7E" w:rsidRPr="000A3AD7" w:rsidRDefault="00EC3B7E" w:rsidP="00DE17FB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  <w:r w:rsidRPr="000A3AD7">
              <w:rPr>
                <w:rFonts w:ascii="Arial" w:eastAsia="Arial" w:hAnsi="Arial" w:cs="Arial"/>
                <w:sz w:val="16"/>
                <w:szCs w:val="16"/>
              </w:rPr>
              <w:t>Modernizacja linii kolejowej nr 202</w:t>
            </w:r>
            <w:r w:rsidR="00953960" w:rsidRPr="000A3AD7">
              <w:rPr>
                <w:rFonts w:ascii="Arial" w:eastAsia="Arial" w:hAnsi="Arial" w:cs="Arial"/>
                <w:sz w:val="16"/>
                <w:szCs w:val="16"/>
              </w:rPr>
              <w:t>, budowa PKM Południe</w:t>
            </w:r>
          </w:p>
        </w:tc>
      </w:tr>
    </w:tbl>
    <w:p w14:paraId="46C1711F" w14:textId="0F9AF98A" w:rsidR="00810BD8" w:rsidRPr="00AA6B3F" w:rsidRDefault="00810BD8" w:rsidP="00E46DE7">
      <w:pPr>
        <w:spacing w:after="241" w:line="291" w:lineRule="auto"/>
        <w:rPr>
          <w:rFonts w:ascii="Arial" w:hAnsi="Arial" w:cs="Arial"/>
        </w:rPr>
      </w:pPr>
    </w:p>
    <w:sectPr w:rsidR="00810BD8" w:rsidRPr="00AA6B3F" w:rsidSect="00DE17FB">
      <w:headerReference w:type="default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2FBAC" w14:textId="77777777" w:rsidR="00025A79" w:rsidRDefault="00025A79" w:rsidP="0028597D">
      <w:pPr>
        <w:spacing w:after="0" w:line="240" w:lineRule="auto"/>
      </w:pPr>
      <w:r>
        <w:separator/>
      </w:r>
    </w:p>
  </w:endnote>
  <w:endnote w:type="continuationSeparator" w:id="0">
    <w:p w14:paraId="78AE6962" w14:textId="77777777" w:rsidR="00025A79" w:rsidRDefault="00025A79" w:rsidP="0028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80643926"/>
      <w:docPartObj>
        <w:docPartGallery w:val="Page Numbers (Bottom of Page)"/>
        <w:docPartUnique/>
      </w:docPartObj>
    </w:sdtPr>
    <w:sdtEndPr/>
    <w:sdtContent>
      <w:p w14:paraId="20EAD53A" w14:textId="4169FD25" w:rsidR="00AA6B3F" w:rsidRDefault="00AA6B3F" w:rsidP="00AA6B3F">
        <w:pPr>
          <w:pStyle w:val="Stopka"/>
          <w:jc w:val="center"/>
        </w:pPr>
        <w:r w:rsidRPr="00AA6B3F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AA6B3F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AA6B3F">
          <w:rPr>
            <w:rFonts w:ascii="Arial" w:hAnsi="Arial" w:cs="Arial"/>
            <w:sz w:val="18"/>
            <w:szCs w:val="18"/>
          </w:rPr>
          <w:instrText>PAGE    \* MERGEFORMAT</w:instrText>
        </w:r>
        <w:r w:rsidRPr="00AA6B3F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AA6B3F">
          <w:rPr>
            <w:rFonts w:ascii="Arial" w:eastAsiaTheme="majorEastAsia" w:hAnsi="Arial" w:cs="Arial"/>
            <w:sz w:val="18"/>
            <w:szCs w:val="18"/>
          </w:rPr>
          <w:t>2</w:t>
        </w:r>
        <w:r w:rsidRPr="00AA6B3F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6C0E5021" w14:textId="7388B68E" w:rsidR="0028597D" w:rsidRDefault="0028597D" w:rsidP="00A755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20FC9" w14:textId="77777777" w:rsidR="00025A79" w:rsidRDefault="00025A79" w:rsidP="0028597D">
      <w:pPr>
        <w:spacing w:after="0" w:line="240" w:lineRule="auto"/>
      </w:pPr>
      <w:r>
        <w:separator/>
      </w:r>
    </w:p>
  </w:footnote>
  <w:footnote w:type="continuationSeparator" w:id="0">
    <w:p w14:paraId="2A303893" w14:textId="77777777" w:rsidR="00025A79" w:rsidRDefault="00025A79" w:rsidP="0028597D">
      <w:pPr>
        <w:spacing w:after="0" w:line="240" w:lineRule="auto"/>
      </w:pPr>
      <w:r>
        <w:continuationSeparator/>
      </w:r>
    </w:p>
  </w:footnote>
  <w:footnote w:id="1">
    <w:p w14:paraId="3199BF04" w14:textId="77777777" w:rsidR="005A5594" w:rsidRPr="00AD61BF" w:rsidRDefault="005A5594" w:rsidP="00C14B3A">
      <w:pPr>
        <w:pStyle w:val="Tekstprzypisudolnego"/>
        <w:rPr>
          <w:rFonts w:ascii="Arial" w:hAnsi="Arial" w:cs="Arial"/>
          <w:sz w:val="16"/>
          <w:szCs w:val="16"/>
        </w:rPr>
      </w:pPr>
      <w:r w:rsidRPr="00AD61B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61BF">
        <w:rPr>
          <w:rFonts w:ascii="Arial" w:hAnsi="Arial" w:cs="Arial"/>
          <w:sz w:val="16"/>
          <w:szCs w:val="16"/>
        </w:rPr>
        <w:t xml:space="preserve"> Plan Zrównoważonego Rozwoju Publicznego Transportu Zbiorowego dla Województwa Pomorskiego</w:t>
      </w:r>
    </w:p>
  </w:footnote>
  <w:footnote w:id="2">
    <w:p w14:paraId="7241C7D4" w14:textId="77777777" w:rsidR="00DC1555" w:rsidRDefault="00DC15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70A9">
        <w:rPr>
          <w:rFonts w:ascii="Arial" w:hAnsi="Arial" w:cs="Arial"/>
          <w:sz w:val="16"/>
          <w:szCs w:val="16"/>
        </w:rPr>
        <w:t>Zgodnie z Regulaminem Sieci Zarządców Infrastruktury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AAB75" w14:textId="1520D6F8" w:rsidR="00AA6B3F" w:rsidRDefault="00AA6B3F" w:rsidP="00AA6B3F">
    <w:pPr>
      <w:pStyle w:val="Nagwek"/>
      <w:jc w:val="right"/>
    </w:pPr>
    <w:r>
      <w:t>Obowiązuje od 13.12.2026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58F5E0E-5C30-4705-8F68-2E55639703A4}"/>
  </w:docVars>
  <w:rsids>
    <w:rsidRoot w:val="002808B1"/>
    <w:rsid w:val="00022B33"/>
    <w:rsid w:val="00022D3D"/>
    <w:rsid w:val="00025A79"/>
    <w:rsid w:val="00062929"/>
    <w:rsid w:val="000A3AD7"/>
    <w:rsid w:val="000A3F28"/>
    <w:rsid w:val="000D45D8"/>
    <w:rsid w:val="000F43BA"/>
    <w:rsid w:val="000F4576"/>
    <w:rsid w:val="0010700A"/>
    <w:rsid w:val="001C327D"/>
    <w:rsid w:val="001D4886"/>
    <w:rsid w:val="001D5937"/>
    <w:rsid w:val="001E77E1"/>
    <w:rsid w:val="00204BE0"/>
    <w:rsid w:val="00276739"/>
    <w:rsid w:val="002808B1"/>
    <w:rsid w:val="0028597D"/>
    <w:rsid w:val="002D766C"/>
    <w:rsid w:val="00322230"/>
    <w:rsid w:val="003437B9"/>
    <w:rsid w:val="003D3729"/>
    <w:rsid w:val="00416442"/>
    <w:rsid w:val="00447875"/>
    <w:rsid w:val="004A7320"/>
    <w:rsid w:val="004C05E4"/>
    <w:rsid w:val="00511736"/>
    <w:rsid w:val="005250CF"/>
    <w:rsid w:val="00555DA8"/>
    <w:rsid w:val="00591C68"/>
    <w:rsid w:val="005A5594"/>
    <w:rsid w:val="005C78C9"/>
    <w:rsid w:val="00621030"/>
    <w:rsid w:val="00640E4A"/>
    <w:rsid w:val="006B3BA5"/>
    <w:rsid w:val="006F3835"/>
    <w:rsid w:val="007C77C9"/>
    <w:rsid w:val="007D0843"/>
    <w:rsid w:val="00806ECE"/>
    <w:rsid w:val="00810BD8"/>
    <w:rsid w:val="00870F27"/>
    <w:rsid w:val="008753BB"/>
    <w:rsid w:val="008E13F9"/>
    <w:rsid w:val="008F39BC"/>
    <w:rsid w:val="00912E52"/>
    <w:rsid w:val="00953960"/>
    <w:rsid w:val="009572A6"/>
    <w:rsid w:val="00957407"/>
    <w:rsid w:val="00974222"/>
    <w:rsid w:val="00986E50"/>
    <w:rsid w:val="009A7FDE"/>
    <w:rsid w:val="009D0E59"/>
    <w:rsid w:val="00A029A8"/>
    <w:rsid w:val="00A63771"/>
    <w:rsid w:val="00A755F1"/>
    <w:rsid w:val="00AA6B3F"/>
    <w:rsid w:val="00AD61BF"/>
    <w:rsid w:val="00B00AF3"/>
    <w:rsid w:val="00B24772"/>
    <w:rsid w:val="00BC3D9F"/>
    <w:rsid w:val="00BE08C4"/>
    <w:rsid w:val="00BE2887"/>
    <w:rsid w:val="00C14B3A"/>
    <w:rsid w:val="00C627F1"/>
    <w:rsid w:val="00CB5094"/>
    <w:rsid w:val="00D55454"/>
    <w:rsid w:val="00D62E77"/>
    <w:rsid w:val="00D770A9"/>
    <w:rsid w:val="00DC1555"/>
    <w:rsid w:val="00DE17FB"/>
    <w:rsid w:val="00E0752C"/>
    <w:rsid w:val="00E1142D"/>
    <w:rsid w:val="00E46DE7"/>
    <w:rsid w:val="00E539C6"/>
    <w:rsid w:val="00EC3B7E"/>
    <w:rsid w:val="00EE49DB"/>
    <w:rsid w:val="00EF79B5"/>
    <w:rsid w:val="00F00550"/>
    <w:rsid w:val="00F35E8F"/>
    <w:rsid w:val="00F60735"/>
    <w:rsid w:val="00FB265F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50DF21"/>
  <w15:docId w15:val="{48BA90A1-C1F8-461F-B990-08449495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85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97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85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97D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4B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4B3A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4B3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4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4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45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4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45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54"/>
    <w:rPr>
      <w:rFonts w:ascii="Segoe UI" w:eastAsia="Calibr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15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1555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15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F5E0E-5C30-4705-8F68-2E55639703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597A40C-66A0-413E-A4A3-39F2DF101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Szymański</dc:creator>
  <cp:keywords/>
  <cp:lastModifiedBy>Wontka Paweł</cp:lastModifiedBy>
  <cp:revision>12</cp:revision>
  <cp:lastPrinted>2022-11-18T11:01:00Z</cp:lastPrinted>
  <dcterms:created xsi:type="dcterms:W3CDTF">2024-09-18T11:12:00Z</dcterms:created>
  <dcterms:modified xsi:type="dcterms:W3CDTF">2025-08-01T07:21:00Z</dcterms:modified>
</cp:coreProperties>
</file>